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46097" w:rsidR="00146097" w:rsidP="00146097" w:rsidRDefault="006969F4" w14:paraId="75EAC276" w14:textId="714854B2">
      <w:pPr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4"/>
          <w:szCs w:val="24"/>
        </w:rPr>
        <w:drawing>
          <wp:inline distT="0" distB="0" distL="0" distR="0" wp14:anchorId="7EE612F7" wp14:editId="07AE1ECF">
            <wp:extent cx="1920240" cy="640080"/>
            <wp:effectExtent l="0" t="0" r="3810" b="7620"/>
            <wp:docPr id="20541307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307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6097" w:rsidR="00146097" w:rsidP="00146097" w:rsidRDefault="00146097" w14:paraId="4A33124A" w14:textId="77777777">
      <w:pPr>
        <w:keepNext/>
        <w:widowControl/>
        <w:outlineLvl w:val="0"/>
        <w:rPr>
          <w:rFonts w:ascii="Garamond" w:hAnsi="Garamond" w:eastAsia="Times New Roman" w:cs="Times New Roman"/>
          <w:b/>
          <w:bCs/>
          <w:sz w:val="24"/>
          <w:szCs w:val="24"/>
        </w:rPr>
      </w:pPr>
    </w:p>
    <w:p w:rsidRPr="00146097" w:rsidR="00146097" w:rsidP="00146097" w:rsidRDefault="00146097" w14:paraId="2451909A" w14:textId="77777777">
      <w:pPr>
        <w:keepNext/>
        <w:widowControl/>
        <w:outlineLvl w:val="0"/>
        <w:rPr>
          <w:rFonts w:ascii="Garamond" w:hAnsi="Garamond" w:eastAsia="Times New Roman" w:cs="Times New Roman"/>
          <w:b/>
          <w:bCs/>
          <w:sz w:val="24"/>
          <w:szCs w:val="24"/>
        </w:rPr>
      </w:pPr>
    </w:p>
    <w:p w:rsidRPr="00146097" w:rsidR="00146097" w:rsidP="00146097" w:rsidRDefault="00146097" w14:paraId="6825371D" w14:textId="77777777">
      <w:pPr>
        <w:keepNext/>
        <w:widowControl/>
        <w:outlineLvl w:val="0"/>
        <w:rPr>
          <w:rFonts w:ascii="Garamond" w:hAnsi="Garamond" w:eastAsia="Times New Roman" w:cs="Times New Roman"/>
          <w:b/>
          <w:bCs/>
          <w:sz w:val="24"/>
          <w:szCs w:val="24"/>
        </w:rPr>
      </w:pPr>
    </w:p>
    <w:p w:rsidRPr="00146097" w:rsidR="00146097" w:rsidP="00146097" w:rsidRDefault="00146097" w14:paraId="76C04533" w14:textId="77777777">
      <w:pPr>
        <w:keepNext/>
        <w:widowControl/>
        <w:outlineLvl w:val="0"/>
        <w:rPr>
          <w:rFonts w:ascii="Garamond" w:hAnsi="Garamond" w:eastAsia="Times New Roman" w:cs="Times New Roman"/>
          <w:b/>
          <w:bCs/>
          <w:sz w:val="24"/>
          <w:szCs w:val="24"/>
        </w:rPr>
      </w:pPr>
    </w:p>
    <w:p w:rsidRPr="00B15981" w:rsidR="00146097" w:rsidP="00146097" w:rsidRDefault="00146097" w14:paraId="492BA46C" w14:textId="77777777">
      <w:pPr>
        <w:keepNext/>
        <w:widowControl/>
        <w:outlineLvl w:val="0"/>
        <w:rPr>
          <w:rFonts w:ascii="Garamond" w:hAnsi="Garamond" w:eastAsia="Times New Roman" w:cs="Times New Roman"/>
          <w:b/>
          <w:bCs/>
          <w:sz w:val="24"/>
          <w:szCs w:val="24"/>
        </w:rPr>
      </w:pPr>
      <w:r w:rsidRPr="00B15981">
        <w:rPr>
          <w:rFonts w:ascii="Garamond" w:hAnsi="Garamond" w:eastAsia="Times New Roman" w:cs="Times New Roman"/>
          <w:b/>
          <w:bCs/>
          <w:sz w:val="24"/>
          <w:szCs w:val="24"/>
        </w:rPr>
        <w:t>NEWS RELEASE</w:t>
      </w:r>
    </w:p>
    <w:p w:rsidRPr="00B15981" w:rsidR="00146097" w:rsidP="00146097" w:rsidRDefault="00146097" w14:paraId="2A4F967B" w14:textId="1540AA90">
      <w:pPr>
        <w:widowControl/>
        <w:rPr>
          <w:rFonts w:ascii="Garamond" w:hAnsi="Garamond" w:eastAsia="Times New Roman" w:cs="Times New Roman"/>
          <w:sz w:val="24"/>
          <w:szCs w:val="24"/>
        </w:rPr>
      </w:pPr>
      <w:r w:rsidRPr="00B15981">
        <w:rPr>
          <w:rFonts w:ascii="Garamond" w:hAnsi="Garamond" w:eastAsia="Times New Roman" w:cs="Times New Roman"/>
          <w:sz w:val="24"/>
          <w:szCs w:val="24"/>
        </w:rPr>
        <w:t xml:space="preserve">CONTACT: </w:t>
      </w:r>
      <w:r w:rsidRPr="00B15981" w:rsidR="00A30118">
        <w:rPr>
          <w:rFonts w:ascii="Garamond" w:hAnsi="Garamond" w:eastAsia="Times New Roman" w:cs="Times New Roman"/>
          <w:sz w:val="24"/>
          <w:szCs w:val="24"/>
        </w:rPr>
        <w:t>Youlouca Armony-Browne</w:t>
      </w:r>
      <w:r w:rsidR="00614862">
        <w:rPr>
          <w:rFonts w:ascii="Garamond" w:hAnsi="Garamond" w:eastAsia="Times New Roman" w:cs="Times New Roman"/>
          <w:sz w:val="24"/>
          <w:szCs w:val="24"/>
        </w:rPr>
        <w:t>, Business Development Executive</w:t>
      </w:r>
      <w:r w:rsidR="00C63D99">
        <w:rPr>
          <w:rFonts w:ascii="Garamond" w:hAnsi="Garamond" w:eastAsia="Times New Roman" w:cs="Times New Roman"/>
          <w:sz w:val="24"/>
          <w:szCs w:val="24"/>
        </w:rPr>
        <w:t>, ECSE</w:t>
      </w:r>
    </w:p>
    <w:p w:rsidRPr="00B15981" w:rsidR="00146097" w:rsidP="00146097" w:rsidRDefault="00146097" w14:paraId="4A4CBEF4" w14:textId="0D4C2AED">
      <w:pPr>
        <w:widowControl/>
        <w:rPr>
          <w:rFonts w:ascii="Garamond" w:hAnsi="Garamond" w:eastAsia="Times New Roman" w:cs="Times New Roman"/>
          <w:sz w:val="24"/>
          <w:szCs w:val="24"/>
        </w:rPr>
      </w:pPr>
      <w:r w:rsidRPr="00B15981">
        <w:rPr>
          <w:rFonts w:ascii="Garamond" w:hAnsi="Garamond" w:eastAsia="Times New Roman" w:cs="Times New Roman"/>
          <w:sz w:val="24"/>
          <w:szCs w:val="24"/>
        </w:rPr>
        <w:t xml:space="preserve">TEL: (869) </w:t>
      </w:r>
      <w:r w:rsidR="00D4101D">
        <w:rPr>
          <w:rFonts w:ascii="Garamond" w:hAnsi="Garamond" w:eastAsia="Times New Roman" w:cs="Times New Roman"/>
          <w:sz w:val="24"/>
          <w:szCs w:val="24"/>
        </w:rPr>
        <w:t>763-3711</w:t>
      </w:r>
    </w:p>
    <w:p w:rsidRPr="00B15981" w:rsidR="00146097" w:rsidP="00146097" w:rsidRDefault="00146097" w14:paraId="7D468169" w14:textId="77777777">
      <w:pPr>
        <w:widowControl/>
        <w:rPr>
          <w:rFonts w:ascii="Garamond" w:hAnsi="Garamond" w:eastAsia="Times New Roman" w:cs="Times New Roman"/>
          <w:sz w:val="24"/>
          <w:szCs w:val="24"/>
        </w:rPr>
      </w:pPr>
      <w:r w:rsidRPr="00B15981">
        <w:rPr>
          <w:rFonts w:ascii="Garamond" w:hAnsi="Garamond" w:eastAsia="Times New Roman" w:cs="Times New Roman"/>
          <w:sz w:val="24"/>
          <w:szCs w:val="24"/>
        </w:rPr>
        <w:t>FAX: (869) 465-3798</w:t>
      </w:r>
    </w:p>
    <w:p w:rsidRPr="00B15981" w:rsidR="00146097" w:rsidP="00146097" w:rsidRDefault="00146097" w14:paraId="14DF9321" w14:textId="77777777">
      <w:pPr>
        <w:widowControl/>
        <w:rPr>
          <w:rFonts w:ascii="Garamond" w:hAnsi="Garamond" w:eastAsia="Times New Roman" w:cs="Times New Roman"/>
          <w:sz w:val="24"/>
          <w:szCs w:val="24"/>
        </w:rPr>
      </w:pPr>
      <w:r w:rsidRPr="00B15981">
        <w:rPr>
          <w:rFonts w:ascii="Garamond" w:hAnsi="Garamond" w:eastAsia="Times New Roman" w:cs="Times New Roman"/>
          <w:sz w:val="24"/>
          <w:szCs w:val="24"/>
        </w:rPr>
        <w:t>Toll Free: 1-800-744-9238</w:t>
      </w:r>
    </w:p>
    <w:p w:rsidRPr="00B15981" w:rsidR="00146097" w:rsidP="00146097" w:rsidRDefault="00146097" w14:paraId="601C27BC" w14:textId="77777777">
      <w:pPr>
        <w:widowControl/>
        <w:rPr>
          <w:rFonts w:ascii="Garamond" w:hAnsi="Garamond" w:eastAsia="Times New Roman" w:cs="Times New Roman"/>
          <w:sz w:val="24"/>
          <w:szCs w:val="24"/>
        </w:rPr>
      </w:pPr>
      <w:r w:rsidRPr="00B15981">
        <w:rPr>
          <w:rFonts w:ascii="Garamond" w:hAnsi="Garamond" w:eastAsia="Times New Roman" w:cs="Times New Roman"/>
          <w:sz w:val="24"/>
          <w:szCs w:val="24"/>
        </w:rPr>
        <w:t>E-mail: info@ecseonline.com</w:t>
      </w:r>
    </w:p>
    <w:p w:rsidRPr="00B15981" w:rsidR="00146097" w:rsidP="00146097" w:rsidRDefault="00146097" w14:paraId="332D53D4" w14:textId="77777777">
      <w:pPr>
        <w:widowControl/>
        <w:pBdr>
          <w:bottom w:val="single" w:color="auto" w:sz="12" w:space="1"/>
        </w:pBdr>
        <w:rPr>
          <w:rFonts w:ascii="Garamond" w:hAnsi="Garamond" w:eastAsia="Times New Roman" w:cs="Times New Roman"/>
          <w:sz w:val="24"/>
          <w:szCs w:val="24"/>
        </w:rPr>
      </w:pPr>
      <w:r w:rsidRPr="00B15981">
        <w:rPr>
          <w:rFonts w:ascii="Garamond" w:hAnsi="Garamond" w:eastAsia="Times New Roman" w:cs="Times New Roman"/>
          <w:sz w:val="24"/>
          <w:szCs w:val="24"/>
        </w:rPr>
        <w:t>www.ecseonline.com</w:t>
      </w:r>
    </w:p>
    <w:p w:rsidRPr="00C63D99" w:rsidR="00146097" w:rsidP="00146097" w:rsidRDefault="00146097" w14:paraId="6CF5C182" w14:textId="650A4A0B">
      <w:pPr>
        <w:widowControl/>
        <w:rPr>
          <w:rFonts w:ascii="Garamond" w:hAnsi="Garamond" w:eastAsia="Times New Roman" w:cs="Times New Roman"/>
          <w:i/>
          <w:iCs/>
          <w:color w:val="000000" w:themeColor="text1"/>
          <w:sz w:val="24"/>
          <w:szCs w:val="24"/>
        </w:rPr>
      </w:pPr>
      <w:r w:rsidRPr="00C63D99">
        <w:rPr>
          <w:rFonts w:ascii="Garamond" w:hAnsi="Garamond" w:eastAsia="Times New Roman" w:cs="Times New Roman"/>
          <w:i/>
          <w:iCs/>
          <w:color w:val="000000" w:themeColor="text1"/>
          <w:sz w:val="24"/>
          <w:szCs w:val="24"/>
        </w:rPr>
        <w:t xml:space="preserve">Basseterre, </w:t>
      </w:r>
      <w:r w:rsidR="000F4B99">
        <w:rPr>
          <w:rFonts w:ascii="Garamond" w:hAnsi="Garamond" w:eastAsia="Times New Roman" w:cs="Times New Roman"/>
          <w:i/>
          <w:iCs/>
          <w:color w:val="000000" w:themeColor="text1"/>
          <w:sz w:val="24"/>
          <w:szCs w:val="24"/>
        </w:rPr>
        <w:t>3 September</w:t>
      </w:r>
      <w:r w:rsidR="006969F4">
        <w:rPr>
          <w:rFonts w:ascii="Garamond" w:hAnsi="Garamond" w:eastAsia="Times New Roman" w:cs="Times New Roman"/>
          <w:i/>
          <w:iCs/>
          <w:color w:val="000000" w:themeColor="text1"/>
          <w:sz w:val="24"/>
          <w:szCs w:val="24"/>
        </w:rPr>
        <w:t xml:space="preserve"> 202</w:t>
      </w:r>
      <w:r w:rsidR="000F4B99">
        <w:rPr>
          <w:rFonts w:ascii="Garamond" w:hAnsi="Garamond" w:eastAsia="Times New Roman" w:cs="Times New Roman"/>
          <w:i/>
          <w:iCs/>
          <w:color w:val="000000" w:themeColor="text1"/>
          <w:sz w:val="24"/>
          <w:szCs w:val="24"/>
        </w:rPr>
        <w:t>5</w:t>
      </w:r>
    </w:p>
    <w:p w:rsidR="00313A2C" w:rsidRDefault="00313A2C" w14:paraId="062B6AB8" w14:textId="5A32FC16">
      <w:pPr>
        <w:spacing w:line="200" w:lineRule="atLeast"/>
        <w:ind w:left="101"/>
        <w:rPr>
          <w:rFonts w:ascii="Times New Roman" w:hAnsi="Times New Roman" w:eastAsia="Times New Roman" w:cs="Times New Roman"/>
          <w:sz w:val="20"/>
          <w:szCs w:val="20"/>
        </w:rPr>
      </w:pPr>
    </w:p>
    <w:p w:rsidRPr="00C63D99" w:rsidR="00993E02" w:rsidP="00C63D99" w:rsidRDefault="000F4B99" w14:paraId="1FCB2012" w14:textId="20B0304B">
      <w:pPr>
        <w:pStyle w:val="Heading4"/>
        <w:jc w:val="center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name="_Hlk84869831" w:id="0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  <w:vertAlign w:val="superscript"/>
        </w:rPr>
        <w:t>rd</w:t>
      </w:r>
      <w:r w:rsidR="006969F4"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Annual</w:t>
      </w:r>
      <w:r w:rsidRPr="00C63D99" w:rsidR="00A86921"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Regional Schools Investment Competition</w:t>
      </w:r>
      <w:r w:rsidR="006969F4"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:rsidRPr="00993E02" w:rsidR="00993E02" w:rsidP="00993E02" w:rsidRDefault="00993E02" w14:paraId="4E9A0531" w14:textId="77777777">
      <w:pPr>
        <w:jc w:val="both"/>
        <w:rPr>
          <w:rFonts w:ascii="Times New Roman" w:hAnsi="Times New Roman" w:cs="Times New Roman"/>
          <w:sz w:val="24"/>
        </w:rPr>
      </w:pPr>
    </w:p>
    <w:p w:rsidR="00A86921" w:rsidP="007F00B2" w:rsidRDefault="00A86921" w14:paraId="701F4E6C" w14:textId="77777777">
      <w:pPr>
        <w:ind w:right="-360"/>
        <w:jc w:val="both"/>
        <w:rPr>
          <w:rFonts w:ascii="Times New Roman" w:hAnsi="Times New Roman" w:cs="Times New Roman"/>
          <w:sz w:val="24"/>
        </w:rPr>
      </w:pPr>
    </w:p>
    <w:p w:rsidRPr="000F4B99" w:rsidR="000F4B99" w:rsidP="000F4B99" w:rsidRDefault="000F4B99" w14:paraId="07B39EE3" w14:textId="4941D59D">
      <w:pPr>
        <w:ind w:right="-360"/>
        <w:jc w:val="both"/>
        <w:rPr>
          <w:rFonts w:ascii="Times New Roman" w:hAnsi="Times New Roman" w:eastAsia="Calibri" w:cs="Times New Roman"/>
          <w:sz w:val="24"/>
        </w:rPr>
      </w:pPr>
      <w:r w:rsidRPr="000F4B99">
        <w:rPr>
          <w:rFonts w:ascii="Times New Roman" w:hAnsi="Times New Roman" w:eastAsia="Calibri" w:cs="Times New Roman"/>
          <w:sz w:val="24"/>
        </w:rPr>
        <w:t xml:space="preserve">The Eastern Caribbean Securities Exchange (ECSE), its licensed member broker dealers and the Eastern Caribbean Securities Regulatory Commission (ECSRC) are pleased to announce the hosting of the </w:t>
      </w:r>
      <w:r w:rsidRPr="000F4B99">
        <w:rPr>
          <w:rFonts w:ascii="Times New Roman" w:hAnsi="Times New Roman" w:eastAsia="Calibri" w:cs="Times New Roman"/>
          <w:sz w:val="24"/>
        </w:rPr>
        <w:br/>
      </w:r>
      <w:r>
        <w:rPr>
          <w:rFonts w:ascii="Times New Roman" w:hAnsi="Times New Roman" w:eastAsia="Calibri" w:cs="Times New Roman"/>
          <w:sz w:val="24"/>
        </w:rPr>
        <w:t>3</w:t>
      </w:r>
      <w:r w:rsidRPr="000F4B99">
        <w:rPr>
          <w:rFonts w:ascii="Times New Roman" w:hAnsi="Times New Roman" w:eastAsia="Calibri" w:cs="Times New Roman"/>
          <w:sz w:val="24"/>
          <w:vertAlign w:val="superscript"/>
        </w:rPr>
        <w:t>rd</w:t>
      </w:r>
      <w:r>
        <w:rPr>
          <w:rFonts w:ascii="Times New Roman" w:hAnsi="Times New Roman" w:eastAsia="Calibri" w:cs="Times New Roman"/>
          <w:sz w:val="24"/>
        </w:rPr>
        <w:t xml:space="preserve"> Annual </w:t>
      </w:r>
      <w:r w:rsidRPr="000F4B99">
        <w:rPr>
          <w:rFonts w:ascii="Times New Roman" w:hAnsi="Times New Roman" w:eastAsia="Calibri" w:cs="Times New Roman"/>
          <w:sz w:val="24"/>
        </w:rPr>
        <w:t xml:space="preserve">Regional Schools Investment Competition (RSIC). </w:t>
      </w:r>
    </w:p>
    <w:p w:rsidRPr="000F4B99" w:rsidR="000F4B99" w:rsidP="000F4B99" w:rsidRDefault="000F4B99" w14:paraId="10E331CD" w14:textId="77777777">
      <w:pPr>
        <w:ind w:right="-360"/>
        <w:jc w:val="both"/>
        <w:rPr>
          <w:rFonts w:ascii="Times New Roman" w:hAnsi="Times New Roman" w:eastAsia="Calibri" w:cs="Times New Roman"/>
          <w:sz w:val="24"/>
        </w:rPr>
      </w:pPr>
    </w:p>
    <w:p w:rsidR="000F4B99" w:rsidP="000F4B99" w:rsidRDefault="000F4B99" w14:paraId="77F4991F" w14:textId="56CCD7A8">
      <w:pPr>
        <w:ind w:right="-360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The competition takes place </w:t>
      </w:r>
      <w:r w:rsidRPr="1E34DD09" w:rsidR="51109501">
        <w:rPr>
          <w:rFonts w:ascii="Times New Roman" w:hAnsi="Times New Roman" w:eastAsia="Calibri" w:cs="Times New Roman"/>
          <w:sz w:val="24"/>
          <w:szCs w:val="24"/>
        </w:rPr>
        <w:t>during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 the </w:t>
      </w:r>
      <w:r w:rsidRPr="1E34DD09" w:rsidR="7AEB9779">
        <w:rPr>
          <w:rFonts w:ascii="Times New Roman" w:hAnsi="Times New Roman" w:eastAsia="Calibri" w:cs="Times New Roman"/>
          <w:sz w:val="24"/>
          <w:szCs w:val="24"/>
        </w:rPr>
        <w:t>months of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 October</w:t>
      </w:r>
      <w:r w:rsidRPr="1E34DD09" w:rsidR="20824838">
        <w:rPr>
          <w:rFonts w:ascii="Times New Roman" w:hAnsi="Times New Roman" w:eastAsia="Calibri" w:cs="Times New Roman"/>
          <w:sz w:val="24"/>
          <w:szCs w:val="24"/>
        </w:rPr>
        <w:t xml:space="preserve"> and</w:t>
      </w:r>
      <w:r w:rsidRPr="1E34DD09" w:rsidR="0BBDEAFD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November 2025 and will be preceded by an Investment Education Webinar to introduce the students to investment basics, financial securities, and to share information about the Eastern Caribbean Securities Markets. </w:t>
      </w:r>
    </w:p>
    <w:p w:rsidRPr="000F4B99" w:rsidR="008C70DA" w:rsidP="000F4B99" w:rsidRDefault="008C70DA" w14:paraId="599B3AD9" w14:textId="77777777">
      <w:pPr>
        <w:ind w:right="-360"/>
        <w:jc w:val="both"/>
        <w:rPr>
          <w:rFonts w:ascii="Times New Roman" w:hAnsi="Times New Roman" w:eastAsia="Calibri" w:cs="Times New Roman"/>
          <w:sz w:val="24"/>
        </w:rPr>
      </w:pPr>
    </w:p>
    <w:p w:rsidRPr="000F4B99" w:rsidR="000F4B99" w:rsidP="2A312868" w:rsidRDefault="000F4B99" w14:paraId="7DA31F30" w14:textId="0B7A2B77">
      <w:pPr>
        <w:ind w:right="-360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1E34DD09">
        <w:rPr>
          <w:rFonts w:ascii="Times New Roman" w:hAnsi="Times New Roman" w:eastAsia="Calibri" w:cs="Times New Roman"/>
          <w:sz w:val="24"/>
          <w:szCs w:val="24"/>
        </w:rPr>
        <w:t>The competition targets 3rd through 5th form students and 1st year tertiary level students from schools across the eight Eastern Caribbean Currency Union (ECCU) member countries</w:t>
      </w:r>
      <w:r w:rsidRPr="1E34DD09" w:rsidR="00EE6359">
        <w:rPr>
          <w:rFonts w:ascii="Times New Roman" w:hAnsi="Times New Roman" w:eastAsia="Calibri" w:cs="Times New Roman"/>
          <w:sz w:val="24"/>
          <w:szCs w:val="24"/>
        </w:rPr>
        <w:t>. The schools will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 compete to </w:t>
      </w:r>
      <w:r w:rsidRPr="1E34DD09" w:rsidR="00EE6359">
        <w:rPr>
          <w:rFonts w:ascii="Times New Roman" w:hAnsi="Times New Roman" w:eastAsia="Calibri" w:cs="Times New Roman"/>
          <w:sz w:val="24"/>
          <w:szCs w:val="24"/>
        </w:rPr>
        <w:t>win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 the </w:t>
      </w:r>
      <w:r w:rsidRPr="1E34DD09" w:rsidR="0BF20F6A">
        <w:rPr>
          <w:rFonts w:ascii="Times New Roman" w:hAnsi="Times New Roman" w:eastAsia="Calibri" w:cs="Times New Roman"/>
          <w:sz w:val="24"/>
          <w:szCs w:val="24"/>
        </w:rPr>
        <w:t xml:space="preserve">Regional Investment Champion 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award.  The competition provides the opportunity for students to experience securities market activity firsthand. Participants will have the opportunity to test their knowledge while gaining useful </w:t>
      </w:r>
      <w:r w:rsidRPr="1E34DD09" w:rsidR="00EE6359">
        <w:rPr>
          <w:rFonts w:ascii="Times New Roman" w:hAnsi="Times New Roman" w:eastAsia="Calibri" w:cs="Times New Roman"/>
          <w:sz w:val="24"/>
          <w:szCs w:val="24"/>
        </w:rPr>
        <w:t>investment</w:t>
      </w:r>
      <w:r w:rsidRPr="1E34DD09">
        <w:rPr>
          <w:rFonts w:ascii="Times New Roman" w:hAnsi="Times New Roman" w:eastAsia="Calibri" w:cs="Times New Roman"/>
          <w:sz w:val="24"/>
          <w:szCs w:val="24"/>
        </w:rPr>
        <w:t xml:space="preserve"> insights and skills.</w:t>
      </w:r>
    </w:p>
    <w:p w:rsidRPr="000F4B99" w:rsidR="000F4B99" w:rsidP="000F4B99" w:rsidRDefault="000F4B99" w14:paraId="75F0680D" w14:textId="77777777">
      <w:pPr>
        <w:ind w:right="-360"/>
        <w:jc w:val="both"/>
        <w:rPr>
          <w:rFonts w:ascii="Times New Roman" w:hAnsi="Times New Roman" w:eastAsia="Calibri" w:cs="Times New Roman"/>
          <w:sz w:val="24"/>
        </w:rPr>
      </w:pPr>
    </w:p>
    <w:p w:rsidR="000F4B99" w:rsidP="000F4B99" w:rsidRDefault="000F4B99" w14:paraId="22D49F0E" w14:textId="7AC48854">
      <w:pPr>
        <w:ind w:right="-360"/>
        <w:jc w:val="both"/>
        <w:rPr>
          <w:rFonts w:ascii="Calibri" w:hAnsi="Calibri" w:eastAsia="Calibri" w:cs="Times New Roman"/>
        </w:rPr>
      </w:pPr>
      <w:r w:rsidRPr="000F4B99">
        <w:rPr>
          <w:rFonts w:ascii="Times New Roman" w:hAnsi="Times New Roman" w:eastAsia="Calibri" w:cs="Times New Roman"/>
          <w:sz w:val="24"/>
        </w:rPr>
        <w:t>A competition information page and link to the online registration is available on the ECSE website (</w:t>
      </w:r>
      <w:hyperlink w:history="1" r:id="rId6">
        <w:r w:rsidRPr="000F4B99">
          <w:rPr>
            <w:rFonts w:ascii="Times New Roman" w:hAnsi="Times New Roman" w:eastAsia="Calibri" w:cs="Times New Roman"/>
            <w:color w:val="0000FF" w:themeColor="hyperlink"/>
            <w:sz w:val="24"/>
            <w:u w:val="single"/>
          </w:rPr>
          <w:t>www.ecseonline.com</w:t>
        </w:r>
      </w:hyperlink>
      <w:r w:rsidRPr="000F4B99">
        <w:rPr>
          <w:rFonts w:ascii="Times New Roman" w:hAnsi="Times New Roman" w:eastAsia="Calibri" w:cs="Times New Roman"/>
          <w:sz w:val="24"/>
        </w:rPr>
        <w:t>).</w:t>
      </w:r>
      <w:r w:rsidRPr="000F4B99">
        <w:rPr>
          <w:rFonts w:ascii="Times New Roman" w:hAnsi="Times New Roman" w:eastAsia="Calibri" w:cs="Times New Roman"/>
          <w:color w:val="000000"/>
          <w:sz w:val="23"/>
          <w:szCs w:val="23"/>
        </w:rPr>
        <w:t xml:space="preserve"> </w:t>
      </w:r>
      <w:r w:rsidRPr="000F4B99">
        <w:rPr>
          <w:rFonts w:ascii="Times New Roman" w:hAnsi="Times New Roman" w:eastAsia="Calibri" w:cs="Times New Roman"/>
          <w:sz w:val="24"/>
        </w:rPr>
        <w:t xml:space="preserve">The direct link to the information page where competition updates will also be posted is: </w:t>
      </w:r>
      <w:hyperlink w:history="1" r:id="rId7">
        <w:r w:rsidRPr="00854F58">
          <w:rPr>
            <w:rStyle w:val="Hyperlink"/>
            <w:rFonts w:ascii="Calibri" w:hAnsi="Calibri" w:eastAsia="Calibri" w:cs="Times New Roman"/>
          </w:rPr>
          <w:t>https://www.ecseonline.com/regional-schools-investment-competition-rsic/</w:t>
        </w:r>
      </w:hyperlink>
    </w:p>
    <w:p w:rsidRPr="000F4B99" w:rsidR="000F4B99" w:rsidP="000F4B99" w:rsidRDefault="000F4B99" w14:paraId="6E21EB75" w14:textId="77777777">
      <w:pPr>
        <w:ind w:right="-360"/>
        <w:jc w:val="both"/>
        <w:rPr>
          <w:rFonts w:ascii="Times New Roman" w:hAnsi="Times New Roman" w:eastAsia="Calibri" w:cs="Times New Roman"/>
          <w:sz w:val="24"/>
        </w:rPr>
      </w:pPr>
    </w:p>
    <w:p w:rsidR="00A30118" w:rsidP="391573DA" w:rsidRDefault="00A30118" w14:paraId="4044CD63" w14:textId="66D6B577">
      <w:pPr>
        <w:ind w:right="-360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inline wp14:editId="00707F09" wp14:anchorId="2395B755">
            <wp:extent cx="6143625" cy="6143625"/>
            <wp:effectExtent l="0" t="0" r="0" b="0"/>
            <wp:docPr id="140760566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07605666" name=""/>
                    <pic:cNvPicPr/>
                  </pic:nvPicPr>
                  <pic:blipFill>
                    <a:blip xmlns:r="http://schemas.openxmlformats.org/officeDocument/2006/relationships" r:embed="rId198178236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118" w:rsidP="00A30118" w:rsidRDefault="00A30118" w14:paraId="13647AF8" w14:textId="77777777">
      <w:pPr>
        <w:ind w:right="-360"/>
        <w:jc w:val="both"/>
        <w:rPr>
          <w:rFonts w:ascii="Times New Roman" w:hAnsi="Times New Roman" w:cs="Times New Roman"/>
          <w:sz w:val="24"/>
        </w:rPr>
      </w:pPr>
    </w:p>
    <w:p w:rsidRPr="00A30118" w:rsidR="00A30118" w:rsidP="391573DA" w:rsidRDefault="00A30118" w14:paraId="659EC08B" w14:noSpellErr="1" w14:textId="2D50EA80">
      <w:pPr>
        <w:pStyle w:val="Normal"/>
        <w:ind w:right="-360"/>
        <w:jc w:val="both"/>
        <w:rPr>
          <w:rFonts w:ascii="Times New Roman" w:hAnsi="Times New Roman" w:cs="Times New Roman"/>
          <w:sz w:val="24"/>
          <w:szCs w:val="24"/>
        </w:rPr>
      </w:pPr>
    </w:p>
    <w:p w:rsidRPr="007F00B2" w:rsidR="007F00B2" w:rsidP="007F00B2" w:rsidRDefault="007F00B2" w14:paraId="25ED77BE" w14:textId="77777777">
      <w:pPr>
        <w:ind w:right="-360"/>
        <w:jc w:val="both"/>
        <w:rPr>
          <w:rFonts w:ascii="Times New Roman" w:hAnsi="Times New Roman" w:cs="Times New Roman"/>
          <w:sz w:val="24"/>
        </w:rPr>
      </w:pPr>
    </w:p>
    <w:p w:rsidR="00146097" w:rsidP="00993E02" w:rsidRDefault="00146097" w14:paraId="4B1B9A48" w14:textId="77777777">
      <w:pPr>
        <w:ind w:right="-360"/>
        <w:jc w:val="both"/>
        <w:rPr>
          <w:rFonts w:ascii="Times New Roman" w:hAnsi="Times New Roman" w:cs="Times New Roman"/>
          <w:sz w:val="24"/>
        </w:rPr>
      </w:pPr>
    </w:p>
    <w:p w:rsidR="00146097" w:rsidP="00993E02" w:rsidRDefault="00146097" w14:paraId="2A524058" w14:textId="77777777">
      <w:pPr>
        <w:ind w:right="-360"/>
        <w:jc w:val="both"/>
        <w:rPr>
          <w:rFonts w:ascii="Times New Roman" w:hAnsi="Times New Roman" w:cs="Times New Roman"/>
          <w:sz w:val="24"/>
        </w:rPr>
      </w:pPr>
    </w:p>
    <w:p w:rsidR="00146097" w:rsidP="00993E02" w:rsidRDefault="00146097" w14:paraId="72FE1E4D" w14:textId="19DD659D">
      <w:pPr>
        <w:ind w:right="-360"/>
        <w:jc w:val="both"/>
        <w:rPr>
          <w:rFonts w:ascii="Times New Roman" w:hAnsi="Times New Roman" w:cs="Times New Roman"/>
          <w:sz w:val="24"/>
        </w:rPr>
      </w:pPr>
    </w:p>
    <w:bookmarkEnd w:id="0"/>
    <w:p w:rsidRPr="00993E02" w:rsidR="00146097" w:rsidP="00993E02" w:rsidRDefault="00146097" w14:paraId="5D8FF267" w14:textId="77777777">
      <w:pPr>
        <w:ind w:right="-360"/>
        <w:jc w:val="both"/>
        <w:rPr>
          <w:rFonts w:ascii="Times New Roman" w:hAnsi="Times New Roman" w:cs="Times New Roman"/>
          <w:sz w:val="24"/>
        </w:rPr>
      </w:pPr>
    </w:p>
    <w:sectPr w:rsidRPr="00993E02" w:rsidR="00146097">
      <w:type w:val="continuous"/>
      <w:pgSz w:w="12240" w:h="15840" w:orient="portrait"/>
      <w:pgMar w:top="136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4A4"/>
    <w:multiLevelType w:val="hybridMultilevel"/>
    <w:tmpl w:val="54D4D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AFD"/>
    <w:multiLevelType w:val="hybridMultilevel"/>
    <w:tmpl w:val="0C02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140DC"/>
    <w:multiLevelType w:val="hybridMultilevel"/>
    <w:tmpl w:val="D1C27D40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58CD0605"/>
    <w:multiLevelType w:val="hybridMultilevel"/>
    <w:tmpl w:val="2F729D5C"/>
    <w:lvl w:ilvl="0" w:tplc="2B8E4B1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AE2DF5"/>
    <w:multiLevelType w:val="hybridMultilevel"/>
    <w:tmpl w:val="1854C7C8"/>
    <w:lvl w:ilvl="0" w:tplc="FC168948">
      <w:numFmt w:val="bullet"/>
      <w:lvlText w:val="-"/>
      <w:lvlJc w:val="left"/>
      <w:pPr>
        <w:ind w:left="4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6BAA1A60"/>
    <w:multiLevelType w:val="hybridMultilevel"/>
    <w:tmpl w:val="00669C3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3CD430D"/>
    <w:multiLevelType w:val="hybridMultilevel"/>
    <w:tmpl w:val="1BC82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A24CBE"/>
    <w:multiLevelType w:val="hybridMultilevel"/>
    <w:tmpl w:val="75164F72"/>
    <w:lvl w:ilvl="0" w:tplc="1208FCA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7353065">
    <w:abstractNumId w:val="6"/>
  </w:num>
  <w:num w:numId="2" w16cid:durableId="1647002857">
    <w:abstractNumId w:val="1"/>
  </w:num>
  <w:num w:numId="3" w16cid:durableId="417098799">
    <w:abstractNumId w:val="0"/>
  </w:num>
  <w:num w:numId="4" w16cid:durableId="1675716591">
    <w:abstractNumId w:val="5"/>
  </w:num>
  <w:num w:numId="5" w16cid:durableId="1003356961">
    <w:abstractNumId w:val="3"/>
  </w:num>
  <w:num w:numId="6" w16cid:durableId="8263361">
    <w:abstractNumId w:val="2"/>
  </w:num>
  <w:num w:numId="7" w16cid:durableId="2138717435">
    <w:abstractNumId w:val="4"/>
  </w:num>
  <w:num w:numId="8" w16cid:durableId="1783378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C"/>
    <w:rsid w:val="000569BF"/>
    <w:rsid w:val="00065396"/>
    <w:rsid w:val="000704D2"/>
    <w:rsid w:val="000E3569"/>
    <w:rsid w:val="000F4B99"/>
    <w:rsid w:val="00114701"/>
    <w:rsid w:val="00121879"/>
    <w:rsid w:val="00146097"/>
    <w:rsid w:val="00207702"/>
    <w:rsid w:val="00290F93"/>
    <w:rsid w:val="00306A00"/>
    <w:rsid w:val="00313086"/>
    <w:rsid w:val="00313A2C"/>
    <w:rsid w:val="003406A4"/>
    <w:rsid w:val="0034251A"/>
    <w:rsid w:val="00365C5A"/>
    <w:rsid w:val="0038393A"/>
    <w:rsid w:val="003A1A39"/>
    <w:rsid w:val="003F0924"/>
    <w:rsid w:val="00405F7F"/>
    <w:rsid w:val="00415886"/>
    <w:rsid w:val="0041653E"/>
    <w:rsid w:val="004223DE"/>
    <w:rsid w:val="0048262D"/>
    <w:rsid w:val="004C4C20"/>
    <w:rsid w:val="004D4726"/>
    <w:rsid w:val="00510B7F"/>
    <w:rsid w:val="005135D1"/>
    <w:rsid w:val="00561319"/>
    <w:rsid w:val="00582E33"/>
    <w:rsid w:val="00590A00"/>
    <w:rsid w:val="005C1399"/>
    <w:rsid w:val="005C476F"/>
    <w:rsid w:val="00614862"/>
    <w:rsid w:val="00623752"/>
    <w:rsid w:val="00654866"/>
    <w:rsid w:val="006969F4"/>
    <w:rsid w:val="006B066D"/>
    <w:rsid w:val="006B2960"/>
    <w:rsid w:val="006C2377"/>
    <w:rsid w:val="006D7EB8"/>
    <w:rsid w:val="006F0AFB"/>
    <w:rsid w:val="00706740"/>
    <w:rsid w:val="0070692B"/>
    <w:rsid w:val="00710B8A"/>
    <w:rsid w:val="00726156"/>
    <w:rsid w:val="00732C65"/>
    <w:rsid w:val="00745692"/>
    <w:rsid w:val="007721B2"/>
    <w:rsid w:val="00795754"/>
    <w:rsid w:val="007A0E54"/>
    <w:rsid w:val="007D203D"/>
    <w:rsid w:val="007F00B2"/>
    <w:rsid w:val="00811359"/>
    <w:rsid w:val="00813726"/>
    <w:rsid w:val="008C70DA"/>
    <w:rsid w:val="008E2838"/>
    <w:rsid w:val="008F210B"/>
    <w:rsid w:val="009015BF"/>
    <w:rsid w:val="00993E02"/>
    <w:rsid w:val="009C0FB9"/>
    <w:rsid w:val="00A30118"/>
    <w:rsid w:val="00A80E0C"/>
    <w:rsid w:val="00A86921"/>
    <w:rsid w:val="00AA3542"/>
    <w:rsid w:val="00AC440E"/>
    <w:rsid w:val="00B15981"/>
    <w:rsid w:val="00B662A9"/>
    <w:rsid w:val="00B67A62"/>
    <w:rsid w:val="00BF74CE"/>
    <w:rsid w:val="00C163FB"/>
    <w:rsid w:val="00C40E9F"/>
    <w:rsid w:val="00C63D99"/>
    <w:rsid w:val="00C82B5C"/>
    <w:rsid w:val="00CF7D34"/>
    <w:rsid w:val="00D4101D"/>
    <w:rsid w:val="00D75C7B"/>
    <w:rsid w:val="00DB6533"/>
    <w:rsid w:val="00DD7C57"/>
    <w:rsid w:val="00E01716"/>
    <w:rsid w:val="00E66295"/>
    <w:rsid w:val="00EE0BD2"/>
    <w:rsid w:val="00EE487D"/>
    <w:rsid w:val="00EE6359"/>
    <w:rsid w:val="00EF5522"/>
    <w:rsid w:val="00F16304"/>
    <w:rsid w:val="00F35949"/>
    <w:rsid w:val="00F366F6"/>
    <w:rsid w:val="00FB1F42"/>
    <w:rsid w:val="00FD13D1"/>
    <w:rsid w:val="00FD33F0"/>
    <w:rsid w:val="00FF1A61"/>
    <w:rsid w:val="0430F073"/>
    <w:rsid w:val="0484A446"/>
    <w:rsid w:val="083DF98C"/>
    <w:rsid w:val="0BBDEAFD"/>
    <w:rsid w:val="0BF20F6A"/>
    <w:rsid w:val="1D813B9B"/>
    <w:rsid w:val="1E34DD09"/>
    <w:rsid w:val="1E74DBFA"/>
    <w:rsid w:val="20824838"/>
    <w:rsid w:val="27BA8BBB"/>
    <w:rsid w:val="2A312868"/>
    <w:rsid w:val="2AE339D0"/>
    <w:rsid w:val="2B7F3D06"/>
    <w:rsid w:val="2CCFD775"/>
    <w:rsid w:val="2F0DFCA9"/>
    <w:rsid w:val="31E7CEFE"/>
    <w:rsid w:val="321B94E7"/>
    <w:rsid w:val="36287E3E"/>
    <w:rsid w:val="37D4EB2D"/>
    <w:rsid w:val="3846CD84"/>
    <w:rsid w:val="391573DA"/>
    <w:rsid w:val="39DAB744"/>
    <w:rsid w:val="3E82528C"/>
    <w:rsid w:val="3EF71A6D"/>
    <w:rsid w:val="408CAAB4"/>
    <w:rsid w:val="41029EB4"/>
    <w:rsid w:val="465841D8"/>
    <w:rsid w:val="469E1948"/>
    <w:rsid w:val="4AA7CCD4"/>
    <w:rsid w:val="4B37963A"/>
    <w:rsid w:val="4E3F3BF0"/>
    <w:rsid w:val="51109501"/>
    <w:rsid w:val="55A36A99"/>
    <w:rsid w:val="58B1E74C"/>
    <w:rsid w:val="64406C20"/>
    <w:rsid w:val="6700CA62"/>
    <w:rsid w:val="686B7756"/>
    <w:rsid w:val="6CFAA426"/>
    <w:rsid w:val="6D7A9108"/>
    <w:rsid w:val="6F075C1A"/>
    <w:rsid w:val="7022E97C"/>
    <w:rsid w:val="70DF04DF"/>
    <w:rsid w:val="7AEB9779"/>
    <w:rsid w:val="7C6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B152"/>
  <w15:docId w15:val="{74F6BB2B-EDAF-4DC9-98A9-D92F70A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E0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E0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E0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0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569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5692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3E0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3E0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93E02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3E02"/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er">
    <w:name w:val="header"/>
    <w:basedOn w:val="Normal"/>
    <w:link w:val="HeaderChar"/>
    <w:semiHidden/>
    <w:rsid w:val="00993E02"/>
    <w:pPr>
      <w:widowControl/>
      <w:tabs>
        <w:tab w:val="center" w:pos="4320"/>
        <w:tab w:val="right" w:pos="8640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semiHidden/>
    <w:rsid w:val="00993E02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A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A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A6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7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A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7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6A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ecseonline.com/regional-schools-investment-competition-rsic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ecseonline.com" TargetMode="External" Id="rId6" /><Relationship Type="http://schemas.openxmlformats.org/officeDocument/2006/relationships/image" Target="media/image1.jpeg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jpg" Id="rId19817823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Tian Arthurton</dc:creator>
  <lastModifiedBy>Guest User</lastModifiedBy>
  <revision>4</revision>
  <dcterms:created xsi:type="dcterms:W3CDTF">2025-09-03T15:53:00.0000000Z</dcterms:created>
  <dcterms:modified xsi:type="dcterms:W3CDTF">2025-09-04T15:19:53.6280629Z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2020-09-25T00:00:00Z</vt:filetime>
  </property>
</Properties>
</file>